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D2" w:rsidRDefault="00164384">
      <w:r>
        <w:t>Lesson 5</w:t>
      </w:r>
    </w:p>
    <w:p w:rsidR="00164384" w:rsidRPr="00336B2B" w:rsidRDefault="00164384">
      <w:pPr>
        <w:rPr>
          <w:rFonts w:ascii="Times New Roman" w:hAnsi="Times New Roman" w:cs="Times New Roman"/>
          <w:sz w:val="24"/>
          <w:szCs w:val="24"/>
        </w:rPr>
      </w:pPr>
      <w:r w:rsidRPr="00336B2B">
        <w:rPr>
          <w:rFonts w:ascii="Times New Roman" w:hAnsi="Times New Roman" w:cs="Times New Roman"/>
          <w:sz w:val="24"/>
          <w:szCs w:val="24"/>
        </w:rPr>
        <w:t xml:space="preserve">The goal of this lesson is to demonstrate how to perform </w:t>
      </w:r>
      <w:proofErr w:type="gramStart"/>
      <w:r w:rsidRPr="00336B2B">
        <w:rPr>
          <w:rFonts w:ascii="Times New Roman" w:hAnsi="Times New Roman" w:cs="Times New Roman"/>
          <w:sz w:val="24"/>
          <w:szCs w:val="24"/>
        </w:rPr>
        <w:t>an independent samples</w:t>
      </w:r>
      <w:proofErr w:type="gramEnd"/>
      <w:r w:rsidRPr="00336B2B">
        <w:rPr>
          <w:rFonts w:ascii="Times New Roman" w:hAnsi="Times New Roman" w:cs="Times New Roman"/>
          <w:sz w:val="24"/>
          <w:szCs w:val="24"/>
        </w:rPr>
        <w:t xml:space="preserve"> T-test in SPSS.</w:t>
      </w:r>
    </w:p>
    <w:p w:rsidR="00336B2B" w:rsidRPr="00336B2B" w:rsidRDefault="00336B2B">
      <w:pPr>
        <w:rPr>
          <w:rFonts w:ascii="Times New Roman" w:hAnsi="Times New Roman" w:cs="Times New Roman"/>
          <w:sz w:val="24"/>
          <w:szCs w:val="24"/>
        </w:rPr>
      </w:pPr>
      <w:r w:rsidRPr="00336B2B">
        <w:rPr>
          <w:rFonts w:ascii="Times New Roman" w:hAnsi="Times New Roman" w:cs="Times New Roman"/>
          <w:sz w:val="24"/>
          <w:szCs w:val="24"/>
        </w:rPr>
        <w:t xml:space="preserve">To start, import the dataset from Lesson 1 into SPSS.  Next, point to </w:t>
      </w:r>
      <w:r w:rsidRPr="00336B2B">
        <w:rPr>
          <w:rFonts w:ascii="Times New Roman" w:hAnsi="Times New Roman" w:cs="Times New Roman"/>
          <w:i/>
          <w:sz w:val="24"/>
          <w:szCs w:val="24"/>
        </w:rPr>
        <w:t>Analyze</w:t>
      </w:r>
      <w:r w:rsidRPr="00336B2B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336B2B">
        <w:rPr>
          <w:rFonts w:ascii="Times New Roman" w:hAnsi="Times New Roman" w:cs="Times New Roman"/>
          <w:i/>
          <w:sz w:val="24"/>
          <w:szCs w:val="24"/>
        </w:rPr>
        <w:t xml:space="preserve">Compare Means </w:t>
      </w:r>
      <w:r w:rsidRPr="00336B2B">
        <w:rPr>
          <w:rFonts w:ascii="Times New Roman" w:hAnsi="Times New Roman" w:cs="Times New Roman"/>
          <w:sz w:val="24"/>
          <w:szCs w:val="24"/>
        </w:rPr>
        <w:t xml:space="preserve">and click on </w:t>
      </w:r>
      <w:r w:rsidRPr="00336B2B">
        <w:rPr>
          <w:rFonts w:ascii="Times New Roman" w:hAnsi="Times New Roman" w:cs="Times New Roman"/>
          <w:i/>
          <w:sz w:val="24"/>
          <w:szCs w:val="24"/>
        </w:rPr>
        <w:t>Independent-Samples T Test</w:t>
      </w:r>
      <w:r w:rsidRPr="00336B2B">
        <w:rPr>
          <w:rFonts w:ascii="Times New Roman" w:hAnsi="Times New Roman" w:cs="Times New Roman"/>
          <w:sz w:val="24"/>
          <w:szCs w:val="24"/>
        </w:rPr>
        <w:t>, as shown here:</w:t>
      </w:r>
    </w:p>
    <w:p w:rsidR="00164384" w:rsidRDefault="00164384" w:rsidP="00164384">
      <w:pPr>
        <w:jc w:val="center"/>
      </w:pPr>
      <w:r>
        <w:rPr>
          <w:noProof/>
        </w:rPr>
        <w:drawing>
          <wp:inline distT="0" distB="0" distL="0" distR="0">
            <wp:extent cx="3733800" cy="1677367"/>
            <wp:effectExtent l="19050" t="0" r="0" b="0"/>
            <wp:docPr id="1" name="Picture 0" descr="tt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est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677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384" w:rsidRDefault="00336B2B" w:rsidP="00164384">
      <w:pPr>
        <w:rPr>
          <w:noProof/>
        </w:rPr>
      </w:pPr>
      <w:r>
        <w:rPr>
          <w:noProof/>
        </w:rPr>
        <w:t>This should bring up the following dialog:</w:t>
      </w:r>
    </w:p>
    <w:p w:rsidR="00164384" w:rsidRDefault="00164384" w:rsidP="00164384">
      <w:pPr>
        <w:jc w:val="center"/>
      </w:pPr>
      <w:r>
        <w:rPr>
          <w:noProof/>
        </w:rPr>
        <w:drawing>
          <wp:inline distT="0" distB="0" distL="0" distR="0">
            <wp:extent cx="3590925" cy="2286598"/>
            <wp:effectExtent l="19050" t="0" r="9525" b="0"/>
            <wp:docPr id="3" name="Picture 2" descr="ttes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est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8913" cy="2285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B2B" w:rsidRPr="005E7B19" w:rsidRDefault="00336B2B" w:rsidP="00336B2B">
      <w:r>
        <w:t>The variables from your dataset</w:t>
      </w:r>
      <w:r w:rsidR="005E7B19">
        <w:t xml:space="preserve"> </w:t>
      </w:r>
      <w:r>
        <w:t xml:space="preserve">are listed in the left hand box.  Let’s say we’re interested in knowing whether there is a difference in weight between men and women.  In this instance, we’d move the </w:t>
      </w:r>
      <w:r>
        <w:rPr>
          <w:i/>
        </w:rPr>
        <w:t>weight</w:t>
      </w:r>
      <w:r>
        <w:t xml:space="preserve"> variable from the left hand box into the </w:t>
      </w:r>
      <w:r>
        <w:rPr>
          <w:i/>
        </w:rPr>
        <w:t>Test Variable</w:t>
      </w:r>
      <w:r>
        <w:t xml:space="preserve"> box, and the </w:t>
      </w:r>
      <w:r>
        <w:rPr>
          <w:i/>
        </w:rPr>
        <w:t>gender</w:t>
      </w:r>
      <w:r>
        <w:t xml:space="preserve"> variable from the left hand box to the </w:t>
      </w:r>
      <w:r>
        <w:rPr>
          <w:i/>
        </w:rPr>
        <w:t>Grouping Variable</w:t>
      </w:r>
      <w:r>
        <w:t xml:space="preserve"> box as shown in the above diagram.  However, SPSS isn’t quite smart enough to know which groups to use in the gender variable</w:t>
      </w:r>
      <w:r w:rsidR="005E7B19">
        <w:t xml:space="preserve">, which is why when the dialog originally pops up there are two question marks inside the </w:t>
      </w:r>
      <w:r w:rsidR="005E7B19">
        <w:rPr>
          <w:i/>
        </w:rPr>
        <w:t>gender</w:t>
      </w:r>
      <w:r w:rsidR="005E7B19">
        <w:t xml:space="preserve"> parentheses.  To fix this, hit the </w:t>
      </w:r>
      <w:r w:rsidR="005E7B19">
        <w:rPr>
          <w:i/>
        </w:rPr>
        <w:t>Define Groups</w:t>
      </w:r>
      <w:r w:rsidR="005E7B19">
        <w:t xml:space="preserve"> button, </w:t>
      </w:r>
      <w:proofErr w:type="gramStart"/>
      <w:r w:rsidR="005E7B19">
        <w:t>which will bring up the following dialog:</w:t>
      </w:r>
      <w:proofErr w:type="gramEnd"/>
    </w:p>
    <w:p w:rsidR="00164384" w:rsidRDefault="00164384" w:rsidP="00164384">
      <w:pPr>
        <w:jc w:val="center"/>
      </w:pPr>
      <w:r>
        <w:rPr>
          <w:noProof/>
        </w:rPr>
        <w:lastRenderedPageBreak/>
        <w:drawing>
          <wp:inline distT="0" distB="0" distL="0" distR="0">
            <wp:extent cx="1962150" cy="1266825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384" w:rsidRPr="00164384" w:rsidRDefault="005E7B19" w:rsidP="005E7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Now, type ‘M’ into the Group 1 textbox and ‘W’ into the Group 2 textbox.  Then press the </w:t>
      </w:r>
      <w:r>
        <w:rPr>
          <w:rFonts w:ascii="Times New Roman" w:hAnsi="Times New Roman" w:cs="Times New Roman"/>
          <w:i/>
          <w:sz w:val="24"/>
          <w:szCs w:val="24"/>
        </w:rPr>
        <w:t>Continue</w:t>
      </w:r>
      <w:r>
        <w:rPr>
          <w:rFonts w:ascii="Times New Roman" w:hAnsi="Times New Roman" w:cs="Times New Roman"/>
          <w:sz w:val="24"/>
          <w:szCs w:val="24"/>
        </w:rPr>
        <w:t xml:space="preserve"> button.  Can you see what happened to the question marks that used to be in the </w:t>
      </w:r>
      <w:r>
        <w:rPr>
          <w:rFonts w:ascii="Times New Roman" w:hAnsi="Times New Roman" w:cs="Times New Roman"/>
          <w:i/>
          <w:sz w:val="24"/>
          <w:szCs w:val="24"/>
        </w:rPr>
        <w:t>Gender</w:t>
      </w:r>
      <w:r>
        <w:rPr>
          <w:rFonts w:ascii="Times New Roman" w:hAnsi="Times New Roman" w:cs="Times New Roman"/>
          <w:sz w:val="24"/>
          <w:szCs w:val="24"/>
        </w:rPr>
        <w:t xml:space="preserve"> parentheses?  They have been replaced by the values you just defined.  Now press the </w:t>
      </w:r>
      <w:r>
        <w:rPr>
          <w:rFonts w:ascii="Times New Roman" w:hAnsi="Times New Roman" w:cs="Times New Roman"/>
          <w:i/>
          <w:sz w:val="24"/>
          <w:szCs w:val="24"/>
        </w:rPr>
        <w:t>Ok</w:t>
      </w:r>
      <w:r>
        <w:rPr>
          <w:rFonts w:ascii="Times New Roman" w:hAnsi="Times New Roman" w:cs="Times New Roman"/>
          <w:sz w:val="24"/>
          <w:szCs w:val="24"/>
        </w:rPr>
        <w:t xml:space="preserve"> button and the following tables will be output:</w:t>
      </w:r>
    </w:p>
    <w:tbl>
      <w:tblPr>
        <w:tblW w:w="696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4"/>
        <w:gridCol w:w="155"/>
        <w:gridCol w:w="734"/>
        <w:gridCol w:w="1019"/>
        <w:gridCol w:w="1416"/>
        <w:gridCol w:w="1441"/>
        <w:gridCol w:w="1469"/>
      </w:tblGrid>
      <w:tr w:rsidR="00164384" w:rsidRPr="00164384" w:rsidTr="00944C47">
        <w:trPr>
          <w:cantSplit/>
          <w:tblHeader/>
          <w:jc w:val="center"/>
        </w:trPr>
        <w:tc>
          <w:tcPr>
            <w:tcW w:w="6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Group Statistics</w:t>
            </w:r>
          </w:p>
        </w:tc>
      </w:tr>
      <w:tr w:rsidR="00164384" w:rsidRPr="00164384" w:rsidTr="00944C47">
        <w:trPr>
          <w:cantSplit/>
          <w:tblHeader/>
          <w:jc w:val="center"/>
        </w:trPr>
        <w:tc>
          <w:tcPr>
            <w:tcW w:w="7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gender</w:t>
            </w:r>
          </w:p>
        </w:tc>
        <w:tc>
          <w:tcPr>
            <w:tcW w:w="10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Std. Error Mean</w:t>
            </w:r>
          </w:p>
        </w:tc>
      </w:tr>
      <w:tr w:rsidR="00164384" w:rsidRPr="00164384" w:rsidTr="00944C47">
        <w:trPr>
          <w:cantSplit/>
          <w:tblHeader/>
          <w:jc w:val="center"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wt</w:t>
            </w:r>
          </w:p>
        </w:tc>
        <w:tc>
          <w:tcPr>
            <w:tcW w:w="155" w:type="dxa"/>
            <w:vMerge w:val="restart"/>
            <w:tcBorders>
              <w:top w:val="single" w:sz="16" w:space="0" w:color="000000"/>
              <w:left w:val="nil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  <w:r w:rsidRPr="00164384">
              <w:rPr>
                <w:rFonts w:ascii="Arial" w:hAnsi="Arial" w:cs="Arial"/>
                <w:color w:val="000000"/>
                <w:sz w:val="2"/>
                <w:szCs w:val="2"/>
              </w:rPr>
              <w:t>dimension1</w:t>
            </w:r>
          </w:p>
        </w:tc>
        <w:tc>
          <w:tcPr>
            <w:tcW w:w="73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101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5004</w:t>
            </w:r>
          </w:p>
        </w:tc>
        <w:tc>
          <w:tcPr>
            <w:tcW w:w="141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209.9919464507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10.00559438300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.14144390651</w:t>
            </w:r>
          </w:p>
        </w:tc>
      </w:tr>
      <w:tr w:rsidR="00164384" w:rsidRPr="00164384" w:rsidTr="00944C47">
        <w:trPr>
          <w:cantSplit/>
          <w:jc w:val="center"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" w:type="dxa"/>
            <w:vMerge/>
            <w:tcBorders>
              <w:top w:val="single" w:sz="16" w:space="0" w:color="000000"/>
              <w:left w:val="nil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1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4996</w:t>
            </w:r>
          </w:p>
        </w:tc>
        <w:tc>
          <w:tcPr>
            <w:tcW w:w="141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210.0274454209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10.10095335376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.14290622619</w:t>
            </w:r>
          </w:p>
        </w:tc>
      </w:tr>
    </w:tbl>
    <w:p w:rsidR="00164384" w:rsidRPr="00164384" w:rsidRDefault="00164384" w:rsidP="0016438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64384" w:rsidRPr="00164384" w:rsidRDefault="00164384" w:rsidP="00164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69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92"/>
        <w:gridCol w:w="1018"/>
        <w:gridCol w:w="1061"/>
        <w:gridCol w:w="1084"/>
        <w:gridCol w:w="601"/>
        <w:gridCol w:w="829"/>
        <w:gridCol w:w="1229"/>
        <w:gridCol w:w="873"/>
        <w:gridCol w:w="1248"/>
        <w:gridCol w:w="677"/>
        <w:gridCol w:w="1382"/>
      </w:tblGrid>
      <w:tr w:rsidR="00164384" w:rsidRPr="00164384" w:rsidTr="00944C47">
        <w:trPr>
          <w:cantSplit/>
          <w:trHeight w:val="319"/>
          <w:tblHeader/>
          <w:jc w:val="center"/>
        </w:trPr>
        <w:tc>
          <w:tcPr>
            <w:tcW w:w="106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Independent Samples Test</w:t>
            </w:r>
          </w:p>
        </w:tc>
      </w:tr>
      <w:tr w:rsidR="00164384" w:rsidRPr="00164384" w:rsidTr="00944C47">
        <w:trPr>
          <w:cantSplit/>
          <w:trHeight w:val="654"/>
          <w:tblHeader/>
          <w:jc w:val="center"/>
        </w:trPr>
        <w:tc>
          <w:tcPr>
            <w:tcW w:w="1710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Levene's</w:t>
            </w:r>
            <w:proofErr w:type="spellEnd"/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 xml:space="preserve"> Test for Equality of Variances</w:t>
            </w:r>
          </w:p>
        </w:tc>
        <w:tc>
          <w:tcPr>
            <w:tcW w:w="6839" w:type="dxa"/>
            <w:gridSpan w:val="7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t-test for Equality of Means</w:t>
            </w:r>
          </w:p>
        </w:tc>
      </w:tr>
      <w:tr w:rsidR="00164384" w:rsidRPr="00164384" w:rsidTr="00944C47">
        <w:trPr>
          <w:cantSplit/>
          <w:trHeight w:val="146"/>
          <w:tblHeader/>
          <w:jc w:val="center"/>
        </w:trPr>
        <w:tc>
          <w:tcPr>
            <w:tcW w:w="1710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vMerge w:val="restart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84" w:type="dxa"/>
            <w:vMerge w:val="restart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601" w:type="dxa"/>
            <w:vMerge w:val="restart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829" w:type="dxa"/>
            <w:vMerge w:val="restart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229" w:type="dxa"/>
            <w:vMerge w:val="restart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873" w:type="dxa"/>
            <w:vMerge w:val="restart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Mean Diff</w:t>
            </w:r>
          </w:p>
        </w:tc>
        <w:tc>
          <w:tcPr>
            <w:tcW w:w="1248" w:type="dxa"/>
            <w:vMerge w:val="restart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Std. Error Diff</w:t>
            </w:r>
          </w:p>
        </w:tc>
        <w:tc>
          <w:tcPr>
            <w:tcW w:w="2059" w:type="dxa"/>
            <w:gridSpan w:val="2"/>
            <w:tcBorders>
              <w:right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95% Confidence Interval of the Difference</w:t>
            </w:r>
          </w:p>
        </w:tc>
      </w:tr>
      <w:tr w:rsidR="00164384" w:rsidRPr="00164384" w:rsidTr="00944C47">
        <w:trPr>
          <w:cantSplit/>
          <w:trHeight w:val="146"/>
          <w:tblHeader/>
          <w:jc w:val="center"/>
        </w:trPr>
        <w:tc>
          <w:tcPr>
            <w:tcW w:w="1710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Merge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vMerge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vMerge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Lower</w:t>
            </w:r>
          </w:p>
        </w:tc>
        <w:tc>
          <w:tcPr>
            <w:tcW w:w="1382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Upper</w:t>
            </w:r>
          </w:p>
        </w:tc>
      </w:tr>
      <w:tr w:rsidR="00164384" w:rsidRPr="00164384" w:rsidTr="00944C47">
        <w:trPr>
          <w:cantSplit/>
          <w:trHeight w:val="698"/>
          <w:tblHeader/>
          <w:jc w:val="center"/>
        </w:trPr>
        <w:tc>
          <w:tcPr>
            <w:tcW w:w="692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wt</w:t>
            </w:r>
          </w:p>
        </w:tc>
        <w:tc>
          <w:tcPr>
            <w:tcW w:w="101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Equal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var</w:t>
            </w:r>
            <w:proofErr w:type="spellEnd"/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 xml:space="preserve"> assumed</w:t>
            </w:r>
          </w:p>
        </w:tc>
        <w:tc>
          <w:tcPr>
            <w:tcW w:w="1061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.575</w:t>
            </w:r>
          </w:p>
        </w:tc>
        <w:tc>
          <w:tcPr>
            <w:tcW w:w="108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.448</w:t>
            </w:r>
          </w:p>
        </w:tc>
        <w:tc>
          <w:tcPr>
            <w:tcW w:w="601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-.177</w:t>
            </w:r>
          </w:p>
        </w:tc>
        <w:tc>
          <w:tcPr>
            <w:tcW w:w="82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9998</w:t>
            </w:r>
          </w:p>
        </w:tc>
        <w:tc>
          <w:tcPr>
            <w:tcW w:w="122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.860</w:t>
            </w:r>
          </w:p>
        </w:tc>
        <w:tc>
          <w:tcPr>
            <w:tcW w:w="87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-.035</w:t>
            </w:r>
          </w:p>
        </w:tc>
        <w:tc>
          <w:tcPr>
            <w:tcW w:w="124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.201</w:t>
            </w:r>
          </w:p>
        </w:tc>
        <w:tc>
          <w:tcPr>
            <w:tcW w:w="677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-.429</w:t>
            </w:r>
          </w:p>
        </w:tc>
        <w:tc>
          <w:tcPr>
            <w:tcW w:w="138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.358</w:t>
            </w: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042</w:t>
            </w:r>
          </w:p>
        </w:tc>
      </w:tr>
      <w:tr w:rsidR="00164384" w:rsidRPr="00164384" w:rsidTr="00944C47">
        <w:trPr>
          <w:cantSplit/>
          <w:trHeight w:val="146"/>
          <w:jc w:val="center"/>
        </w:trPr>
        <w:tc>
          <w:tcPr>
            <w:tcW w:w="69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 xml:space="preserve">Equal </w:t>
            </w:r>
            <w:proofErr w:type="spellStart"/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var</w:t>
            </w:r>
            <w:proofErr w:type="spellEnd"/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 xml:space="preserve"> not assumed</w:t>
            </w:r>
          </w:p>
        </w:tc>
        <w:tc>
          <w:tcPr>
            <w:tcW w:w="1061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-.177</w:t>
            </w:r>
          </w:p>
        </w:tc>
        <w:tc>
          <w:tcPr>
            <w:tcW w:w="82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9996.7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.860</w:t>
            </w:r>
          </w:p>
        </w:tc>
        <w:tc>
          <w:tcPr>
            <w:tcW w:w="87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-.035</w:t>
            </w:r>
          </w:p>
        </w:tc>
        <w:tc>
          <w:tcPr>
            <w:tcW w:w="1248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.201</w:t>
            </w:r>
          </w:p>
        </w:tc>
        <w:tc>
          <w:tcPr>
            <w:tcW w:w="677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-.429</w:t>
            </w:r>
          </w:p>
        </w:tc>
        <w:tc>
          <w:tcPr>
            <w:tcW w:w="138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64384" w:rsidRPr="00164384" w:rsidRDefault="00164384" w:rsidP="001643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384">
              <w:rPr>
                <w:rFonts w:ascii="Arial" w:hAnsi="Arial" w:cs="Arial"/>
                <w:color w:val="000000"/>
                <w:sz w:val="18"/>
                <w:szCs w:val="18"/>
              </w:rPr>
              <w:t>.358732</w:t>
            </w:r>
          </w:p>
        </w:tc>
      </w:tr>
    </w:tbl>
    <w:p w:rsidR="00164384" w:rsidRPr="00164384" w:rsidRDefault="00164384" w:rsidP="0016438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64384" w:rsidRDefault="005E7B19" w:rsidP="005E7B19">
      <w:r>
        <w:tab/>
        <w:t>Now, let’s see if you know how to interpret these tables:</w:t>
      </w:r>
    </w:p>
    <w:p w:rsidR="005E7B19" w:rsidRDefault="005E7B19" w:rsidP="005E7B19">
      <w:r>
        <w:t>1). How many Men were in this dataset?</w:t>
      </w:r>
    </w:p>
    <w:p w:rsidR="005E7B19" w:rsidRDefault="005E7B19" w:rsidP="005E7B19">
      <w:r>
        <w:t>2). How many Women were in this dataset?</w:t>
      </w:r>
    </w:p>
    <w:p w:rsidR="005E7B19" w:rsidRDefault="00583CB0" w:rsidP="005E7B19">
      <w:r>
        <w:t>3.)</w:t>
      </w:r>
      <w:r w:rsidR="005E7B19">
        <w:t xml:space="preserve"> </w:t>
      </w:r>
      <w:r w:rsidR="00547881">
        <w:t>What was the mean weight of the men?</w:t>
      </w:r>
    </w:p>
    <w:p w:rsidR="00547881" w:rsidRDefault="00547881" w:rsidP="005E7B19">
      <w:r>
        <w:lastRenderedPageBreak/>
        <w:t xml:space="preserve">4). </w:t>
      </w:r>
      <w:proofErr w:type="gramStart"/>
      <w:r>
        <w:t>What</w:t>
      </w:r>
      <w:proofErr w:type="gramEnd"/>
      <w:r>
        <w:t xml:space="preserve"> was the mean weight of the women?</w:t>
      </w:r>
    </w:p>
    <w:p w:rsidR="00547881" w:rsidRDefault="00547881" w:rsidP="005E7B19">
      <w:r>
        <w:t>5). All things considered, are these two means very far apart?</w:t>
      </w:r>
    </w:p>
    <w:p w:rsidR="00547881" w:rsidRDefault="00547881" w:rsidP="005E7B19">
      <w:r>
        <w:t>6). Based on your response to question 5, would you expect a t-test to have sufficient evidence to say these two means are different?</w:t>
      </w:r>
    </w:p>
    <w:p w:rsidR="00547881" w:rsidRDefault="00547881" w:rsidP="005E7B19">
      <w:r>
        <w:t xml:space="preserve">7). </w:t>
      </w:r>
      <w:proofErr w:type="gramStart"/>
      <w:r w:rsidR="00A974B5">
        <w:t>The</w:t>
      </w:r>
      <w:proofErr w:type="gramEnd"/>
      <w:r w:rsidR="0075055B">
        <w:t xml:space="preserve"> two-tailed p-value associated with this test is 0.860.  Should we reject the null hypothesis?</w:t>
      </w:r>
    </w:p>
    <w:p w:rsidR="0075055B" w:rsidRDefault="0075055B" w:rsidP="005E7B19">
      <w:r>
        <w:t xml:space="preserve">8). </w:t>
      </w:r>
      <w:proofErr w:type="gramStart"/>
      <w:r>
        <w:t>Is</w:t>
      </w:r>
      <w:proofErr w:type="gramEnd"/>
      <w:r>
        <w:t xml:space="preserve"> there sufficient evidence to suggest that there is a statistically significant difference between the two means in question?</w:t>
      </w:r>
    </w:p>
    <w:p w:rsidR="009D6BD9" w:rsidRDefault="009D6BD9" w:rsidP="005E7B19">
      <w:r>
        <w:t>9). If we now were interested in knowing whether there’s a difference in weight between those with low NYHA class (1 and 2) versus those with high NYHA class (3 and 4), what p-value would you report?</w:t>
      </w:r>
    </w:p>
    <w:sectPr w:rsidR="009D6BD9" w:rsidSect="00F32E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03537"/>
    <w:rsid w:val="00164384"/>
    <w:rsid w:val="00336B2B"/>
    <w:rsid w:val="00403537"/>
    <w:rsid w:val="00547881"/>
    <w:rsid w:val="00583CB0"/>
    <w:rsid w:val="005E7B19"/>
    <w:rsid w:val="006820FC"/>
    <w:rsid w:val="0075055B"/>
    <w:rsid w:val="007723D1"/>
    <w:rsid w:val="00944C47"/>
    <w:rsid w:val="009D6BD9"/>
    <w:rsid w:val="00A974B5"/>
    <w:rsid w:val="00DB3351"/>
    <w:rsid w:val="00E549E0"/>
    <w:rsid w:val="00F32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E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4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3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UB</dc:creator>
  <cp:keywords/>
  <dc:description/>
  <cp:lastModifiedBy>Information Technology Services</cp:lastModifiedBy>
  <cp:revision>2</cp:revision>
  <dcterms:created xsi:type="dcterms:W3CDTF">2010-01-12T14:09:00Z</dcterms:created>
  <dcterms:modified xsi:type="dcterms:W3CDTF">2010-01-12T14:09:00Z</dcterms:modified>
</cp:coreProperties>
</file>